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02AE7" w14:textId="5A6A4D08" w:rsidR="00D86B19" w:rsidRDefault="00FD7CBC" w:rsidP="00D86B19">
      <w:pPr>
        <w:spacing w:after="0" w:line="360" w:lineRule="auto"/>
        <w:rPr>
          <w:rFonts w:cs="Times New Roman"/>
          <w:b/>
          <w:bCs/>
          <w:szCs w:val="24"/>
        </w:rPr>
      </w:pPr>
      <w:r>
        <w:rPr>
          <w:rFonts w:cs="Times New Roman"/>
          <w:b/>
          <w:bCs/>
          <w:noProof/>
          <w:szCs w:val="24"/>
          <w14:ligatures w14:val="standardContextual"/>
        </w:rPr>
        <w:drawing>
          <wp:anchor distT="0" distB="0" distL="114300" distR="114300" simplePos="0" relativeHeight="251658240" behindDoc="1" locked="0" layoutInCell="1" allowOverlap="1" wp14:anchorId="2B13D36F" wp14:editId="16DEC91B">
            <wp:simplePos x="0" y="0"/>
            <wp:positionH relativeFrom="margin">
              <wp:align>center</wp:align>
            </wp:positionH>
            <wp:positionV relativeFrom="paragraph">
              <wp:posOffset>281305</wp:posOffset>
            </wp:positionV>
            <wp:extent cx="6931660" cy="2247900"/>
            <wp:effectExtent l="0" t="0" r="2540" b="0"/>
            <wp:wrapTight wrapText="bothSides">
              <wp:wrapPolygon edited="0">
                <wp:start x="0" y="0"/>
                <wp:lineTo x="0" y="21417"/>
                <wp:lineTo x="21549" y="21417"/>
                <wp:lineTo x="21549" y="0"/>
                <wp:lineTo x="0" y="0"/>
              </wp:wrapPolygon>
            </wp:wrapTight>
            <wp:docPr id="2047138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3891" name="Resim 204713891"/>
                    <pic:cNvPicPr/>
                  </pic:nvPicPr>
                  <pic:blipFill>
                    <a:blip r:embed="rId8">
                      <a:extLst>
                        <a:ext uri="{28A0092B-C50C-407E-A947-70E740481C1C}">
                          <a14:useLocalDpi xmlns:a14="http://schemas.microsoft.com/office/drawing/2010/main" val="0"/>
                        </a:ext>
                      </a:extLst>
                    </a:blip>
                    <a:stretch>
                      <a:fillRect/>
                    </a:stretch>
                  </pic:blipFill>
                  <pic:spPr>
                    <a:xfrm>
                      <a:off x="0" y="0"/>
                      <a:ext cx="6931660" cy="2247900"/>
                    </a:xfrm>
                    <a:prstGeom prst="rect">
                      <a:avLst/>
                    </a:prstGeom>
                  </pic:spPr>
                </pic:pic>
              </a:graphicData>
            </a:graphic>
            <wp14:sizeRelH relativeFrom="page">
              <wp14:pctWidth>0</wp14:pctWidth>
            </wp14:sizeRelH>
            <wp14:sizeRelV relativeFrom="page">
              <wp14:pctHeight>0</wp14:pctHeight>
            </wp14:sizeRelV>
          </wp:anchor>
        </w:drawing>
      </w:r>
    </w:p>
    <w:p w14:paraId="41B0CC8C" w14:textId="085C5D0C" w:rsidR="00D86B19" w:rsidRDefault="00D86B19" w:rsidP="0028353E">
      <w:pPr>
        <w:spacing w:after="0" w:line="360" w:lineRule="auto"/>
        <w:jc w:val="center"/>
        <w:rPr>
          <w:rFonts w:cs="Times New Roman"/>
          <w:b/>
          <w:bCs/>
          <w:szCs w:val="24"/>
        </w:rPr>
      </w:pPr>
    </w:p>
    <w:p w14:paraId="14DC8CCA" w14:textId="77777777" w:rsidR="00D86B19" w:rsidRDefault="00D86B19" w:rsidP="00D86B19">
      <w:pPr>
        <w:spacing w:after="0" w:line="360" w:lineRule="auto"/>
        <w:rPr>
          <w:rFonts w:cs="Times New Roman"/>
          <w:b/>
          <w:bCs/>
          <w:szCs w:val="24"/>
        </w:rPr>
      </w:pPr>
    </w:p>
    <w:p w14:paraId="033F6C2D" w14:textId="77777777" w:rsidR="00D86B19" w:rsidRDefault="00D86B19" w:rsidP="00D86B19">
      <w:pPr>
        <w:spacing w:after="0" w:line="360" w:lineRule="auto"/>
        <w:rPr>
          <w:rFonts w:cs="Times New Roman"/>
          <w:b/>
          <w:bCs/>
          <w:szCs w:val="24"/>
        </w:rPr>
      </w:pPr>
    </w:p>
    <w:p w14:paraId="46709600" w14:textId="77777777" w:rsidR="00D86B19" w:rsidRDefault="00D86B19" w:rsidP="00D86B19">
      <w:pPr>
        <w:spacing w:after="0" w:line="360" w:lineRule="auto"/>
        <w:rPr>
          <w:rFonts w:cs="Times New Roman"/>
          <w:b/>
          <w:bCs/>
          <w:szCs w:val="24"/>
        </w:rPr>
      </w:pPr>
    </w:p>
    <w:p w14:paraId="2EDB3D26" w14:textId="77777777" w:rsidR="00D86B19" w:rsidRDefault="00D86B19" w:rsidP="00D86B19">
      <w:pPr>
        <w:spacing w:after="0" w:line="360" w:lineRule="auto"/>
        <w:rPr>
          <w:rFonts w:cs="Times New Roman"/>
          <w:b/>
          <w:bCs/>
          <w:szCs w:val="24"/>
        </w:rPr>
      </w:pPr>
    </w:p>
    <w:p w14:paraId="58AD66C3" w14:textId="77777777" w:rsidR="00D86B19" w:rsidRPr="0028353E" w:rsidRDefault="00D86B19" w:rsidP="00D86B19">
      <w:pPr>
        <w:spacing w:after="0" w:line="360" w:lineRule="auto"/>
        <w:rPr>
          <w:rFonts w:cs="Times New Roman"/>
          <w:b/>
          <w:bCs/>
          <w:sz w:val="40"/>
          <w:szCs w:val="40"/>
        </w:rPr>
      </w:pPr>
    </w:p>
    <w:p w14:paraId="2D6F3670" w14:textId="0F4C2900" w:rsidR="00D86B19" w:rsidRPr="0028353E" w:rsidRDefault="00745742" w:rsidP="00915D35">
      <w:pPr>
        <w:spacing w:after="0" w:line="360" w:lineRule="auto"/>
        <w:jc w:val="center"/>
        <w:rPr>
          <w:rFonts w:cs="Times New Roman"/>
          <w:b/>
          <w:bCs/>
          <w:sz w:val="56"/>
          <w:szCs w:val="56"/>
        </w:rPr>
      </w:pPr>
      <w:r w:rsidRPr="00745742">
        <w:rPr>
          <w:rFonts w:cs="Times New Roman"/>
          <w:b/>
          <w:bCs/>
          <w:sz w:val="56"/>
          <w:szCs w:val="56"/>
        </w:rPr>
        <w:t>SAYAK</w:t>
      </w:r>
    </w:p>
    <w:p w14:paraId="1A434147" w14:textId="0A6B4A37" w:rsidR="00D86B19" w:rsidRDefault="00915D35" w:rsidP="00316593">
      <w:pPr>
        <w:spacing w:after="0" w:line="360" w:lineRule="auto"/>
        <w:jc w:val="center"/>
        <w:rPr>
          <w:rFonts w:cs="Times New Roman"/>
          <w:b/>
          <w:bCs/>
          <w:szCs w:val="24"/>
        </w:rPr>
        <w:sectPr w:rsidR="00D86B19">
          <w:footerReference w:type="default" r:id="rId9"/>
          <w:pgSz w:w="11906" w:h="16838"/>
          <w:pgMar w:top="1417" w:right="1417" w:bottom="1417" w:left="1417" w:header="708" w:footer="708" w:gutter="0"/>
          <w:cols w:space="708"/>
          <w:docGrid w:linePitch="360"/>
        </w:sectPr>
      </w:pPr>
      <w:r w:rsidRPr="00915D35">
        <w:rPr>
          <w:rFonts w:cs="Times New Roman"/>
          <w:b/>
          <w:bCs/>
          <w:sz w:val="56"/>
          <w:szCs w:val="56"/>
        </w:rPr>
        <w:t>KALİTE VE AKREDİTASYON UYGULAMA YÖNERGESİ</w:t>
      </w:r>
    </w:p>
    <w:p w14:paraId="14F8A57E" w14:textId="716BCCB7" w:rsidR="00AE0247" w:rsidRPr="00316593" w:rsidRDefault="00EE7593" w:rsidP="00F74B22">
      <w:pPr>
        <w:pStyle w:val="Balk1"/>
        <w:spacing w:before="120" w:after="120" w:line="360" w:lineRule="auto"/>
        <w:rPr>
          <w:rFonts w:eastAsia="Times New Roman" w:cs="Times New Roman"/>
          <w:b w:val="0"/>
          <w:bCs/>
          <w:szCs w:val="24"/>
          <w:lang w:eastAsia="tr-TR"/>
        </w:rPr>
      </w:pPr>
      <w:r w:rsidRPr="00316593">
        <w:rPr>
          <w:rStyle w:val="Gl"/>
          <w:b/>
          <w:bCs w:val="0"/>
        </w:rPr>
        <w:lastRenderedPageBreak/>
        <w:t xml:space="preserve">SAYAK </w:t>
      </w:r>
      <w:bookmarkStart w:id="0" w:name="_Hlk185618381"/>
      <w:r w:rsidRPr="00316593">
        <w:rPr>
          <w:rStyle w:val="Gl"/>
          <w:b/>
          <w:bCs w:val="0"/>
        </w:rPr>
        <w:t>KALİTE VE AKREDİTASYON UYGULAMA YÖNERGESİ</w:t>
      </w:r>
      <w:bookmarkEnd w:id="0"/>
    </w:p>
    <w:p w14:paraId="483A95B0" w14:textId="2FEBBF89" w:rsidR="00F74B22" w:rsidRDefault="00915D35" w:rsidP="00F74B22">
      <w:pPr>
        <w:spacing w:line="360" w:lineRule="auto"/>
        <w:rPr>
          <w:rStyle w:val="Balk2Char"/>
          <w:lang w:eastAsia="tr-TR"/>
        </w:rPr>
      </w:pPr>
      <w:r w:rsidRPr="00915D35">
        <w:rPr>
          <w:rStyle w:val="Balk2Char"/>
          <w:lang w:eastAsia="tr-TR"/>
        </w:rPr>
        <w:t>Madde 1: Dayanak, Amaç ve Kapsam</w:t>
      </w:r>
    </w:p>
    <w:p w14:paraId="31D68E03" w14:textId="0A8D64AC" w:rsidR="00915D35" w:rsidRPr="00915D35" w:rsidRDefault="00915D35" w:rsidP="00F74B22">
      <w:pPr>
        <w:spacing w:line="360" w:lineRule="auto"/>
        <w:rPr>
          <w:rFonts w:eastAsiaTheme="majorEastAsia" w:cstheme="majorBidi"/>
          <w:b/>
          <w:szCs w:val="26"/>
          <w:lang w:eastAsia="tr-TR"/>
        </w:rPr>
      </w:pPr>
      <w:r w:rsidRPr="00915D35">
        <w:rPr>
          <w:rStyle w:val="Balk2Char"/>
          <w:lang w:eastAsia="tr-TR"/>
        </w:rPr>
        <w:t>(1) Dayanak:</w:t>
      </w:r>
      <w:r w:rsidR="00F74B22">
        <w:rPr>
          <w:rFonts w:eastAsia="Times New Roman" w:cs="Times New Roman"/>
          <w:szCs w:val="24"/>
          <w:lang w:eastAsia="tr-TR"/>
        </w:rPr>
        <w:t xml:space="preserve"> </w:t>
      </w:r>
      <w:r w:rsidRPr="00915D35">
        <w:rPr>
          <w:lang w:eastAsia="tr-TR"/>
        </w:rPr>
        <w:t>Bu yönerge, 4721 sayılı Türk Medeni Kanunu, 5253 sayılı Dernekler Kanunu ve ilgili diğer mevzuat hükümleri çerçevesinde, Sağlık Yönetimi Eğitim Programları Değerlendirme ve Akreditasyon Derneği (SAYAK) tüzüğüne dayanılarak hazırlanmıştır.</w:t>
      </w:r>
    </w:p>
    <w:p w14:paraId="53FA5AE3" w14:textId="79FD9A02" w:rsidR="00316593" w:rsidRDefault="00915D35" w:rsidP="00F74B22">
      <w:pPr>
        <w:spacing w:line="360" w:lineRule="auto"/>
        <w:rPr>
          <w:lang w:eastAsia="tr-TR"/>
        </w:rPr>
      </w:pPr>
      <w:r w:rsidRPr="00316593">
        <w:rPr>
          <w:rStyle w:val="Balk2Char"/>
        </w:rPr>
        <w:t>(2)</w:t>
      </w:r>
      <w:r w:rsidR="003E33F7" w:rsidRPr="00316593">
        <w:rPr>
          <w:rStyle w:val="Balk2Char"/>
        </w:rPr>
        <w:t xml:space="preserve"> </w:t>
      </w:r>
      <w:r w:rsidRPr="00316593">
        <w:rPr>
          <w:rStyle w:val="Balk2Char"/>
        </w:rPr>
        <w:t>Amaç:</w:t>
      </w:r>
      <w:r w:rsidR="00F74B22">
        <w:rPr>
          <w:lang w:eastAsia="tr-TR"/>
        </w:rPr>
        <w:t xml:space="preserve"> </w:t>
      </w:r>
      <w:r w:rsidR="003E33F7" w:rsidRPr="00316593">
        <w:t>SAYAK '</w:t>
      </w:r>
      <w:proofErr w:type="spellStart"/>
      <w:r w:rsidR="003E33F7" w:rsidRPr="00316593">
        <w:t>ın</w:t>
      </w:r>
      <w:proofErr w:type="spellEnd"/>
      <w:r w:rsidR="003E33F7" w:rsidRPr="00316593">
        <w:t xml:space="preserve"> temel amacı, yükseköğretim düzeyinde sağlık yönetimi eğitim programlarını, bilimsel kongre, konferans, yayın ve dergilerini başta Yüksek Öğretim Kalite Kurulu (YÖKAK) ve uluslararası akreditasyon kurumlarınca belirlenen standartlar referans alınmak üzere, ayrıca SAYAK tarafından Sağlık Yönetimi alanına özgü geliştirilecek standartlar doğrultusunda akredite etmek, değerlendirmek ve eğitim çalışmaları yaparak Türkiye'de sağlık yönetimi eğitiminin kalitesinin yükseltilmesine katkıda bulunmaktır. Böylece, güncel ve gelişmekte olan bilgi ve teknolojileri kavrayan, daha iyi eğitilmiş ve daha nitelikli sağlık yönetimi profesyonelleri yetiştirilerek, sağlık hizmetleri ve sağlık kurumlarının daha verimli, kaliteli ve etkin yönetilmesini sağlayarak, toplumun refahının ileri götürülmesi hedeflenmektedir</w:t>
      </w:r>
      <w:r w:rsidR="003E33F7" w:rsidRPr="003E33F7">
        <w:rPr>
          <w:lang w:eastAsia="tr-TR"/>
        </w:rPr>
        <w:t xml:space="preserve">. </w:t>
      </w:r>
    </w:p>
    <w:p w14:paraId="0F12D572" w14:textId="7C0481F4" w:rsidR="00915D35" w:rsidRPr="00915D35" w:rsidRDefault="00915D35" w:rsidP="00F74B22">
      <w:pPr>
        <w:spacing w:line="360" w:lineRule="auto"/>
        <w:rPr>
          <w:lang w:eastAsia="tr-TR"/>
        </w:rPr>
      </w:pPr>
      <w:r w:rsidRPr="00915D35">
        <w:rPr>
          <w:lang w:eastAsia="tr-TR"/>
        </w:rPr>
        <w:t xml:space="preserve">Bu yönergenin amacı, Türkiye'de sağlık yönetimi eğitim programlarının kalite ve akreditasyon süreçlerini belirlemek, değerlendirme ve akreditasyon çalışmalarında kullanılacak esasları düzenlemek ve </w:t>
      </w:r>
      <w:proofErr w:type="spellStart"/>
      <w:r w:rsidRPr="00915D35">
        <w:rPr>
          <w:lang w:eastAsia="tr-TR"/>
        </w:rPr>
        <w:t>SAYAK'ın</w:t>
      </w:r>
      <w:proofErr w:type="spellEnd"/>
      <w:r w:rsidRPr="00915D35">
        <w:rPr>
          <w:lang w:eastAsia="tr-TR"/>
        </w:rPr>
        <w:t xml:space="preserve"> işleyişini uluslararası standartlara uygun hale getirmektir.</w:t>
      </w:r>
    </w:p>
    <w:p w14:paraId="0941FB6D" w14:textId="4ED85C55"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(3) Kapsam:</w:t>
      </w:r>
      <w:r w:rsidR="00F74B22">
        <w:rPr>
          <w:rFonts w:eastAsia="Times New Roman" w:cs="Times New Roman"/>
          <w:szCs w:val="24"/>
          <w:lang w:eastAsia="tr-TR"/>
        </w:rPr>
        <w:t xml:space="preserve"> </w:t>
      </w:r>
      <w:r w:rsidRPr="00915D35">
        <w:rPr>
          <w:rFonts w:eastAsia="Times New Roman" w:cs="Times New Roman"/>
          <w:szCs w:val="24"/>
          <w:lang w:eastAsia="tr-TR"/>
        </w:rPr>
        <w:t>Bu yönerge, SAYAK tarafından yürütülen sağlık yönetimi eğitim programlarının kalite ve akreditasyon süreçlerini, başvuru esaslarını, değerlendirme yöntemlerini ve akreditasyon kararı süreçlerini kapsar.</w:t>
      </w:r>
    </w:p>
    <w:p w14:paraId="330B6429" w14:textId="054B7E46" w:rsidR="00F74B22" w:rsidRPr="00F74B22"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Madde 2: Tanımlar</w:t>
      </w:r>
    </w:p>
    <w:p w14:paraId="2A58E8E7"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szCs w:val="24"/>
          <w:lang w:eastAsia="tr-TR"/>
        </w:rPr>
        <w:t>Bu yönergede geçen:</w:t>
      </w:r>
    </w:p>
    <w:p w14:paraId="03B5E696" w14:textId="4938FD44"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SAYAK: Sağlık Yönetimi Eğitim Programları Değerlendirme ve Akreditasyon Derneği’ni,</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Akreditasyon: Belirlenen kalite standartlarını sağlayan sağlık yönetimi eğitim programlarının tanınmasını,</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Program: Sağlık yönetimi alanında lisans, yüksek lisans ve doktora düzeyinde eğitim sunan programları,</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Kurum: Türkiye’de faaliyet gösteren, sağlık yönetimi alanında eğitim veren üniversiteler veya diğer yetkili eğitim kurumlarını,</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Başvuru Sahibi: Akreditasyon talebinde bulunan program veya kurumları,</w:t>
      </w:r>
      <w:r w:rsidRPr="00915D35">
        <w:rPr>
          <w:rFonts w:eastAsia="Times New Roman" w:cs="Times New Roman"/>
          <w:szCs w:val="24"/>
          <w:lang w:eastAsia="tr-TR"/>
        </w:rPr>
        <w:br/>
      </w:r>
      <w:r w:rsidRPr="00915D35">
        <w:rPr>
          <w:rFonts w:eastAsia="Times New Roman" w:cs="Times New Roman"/>
          <w:b/>
          <w:bCs/>
          <w:szCs w:val="24"/>
          <w:lang w:eastAsia="tr-TR"/>
        </w:rPr>
        <w:lastRenderedPageBreak/>
        <w:t>(6)</w:t>
      </w:r>
      <w:r w:rsidRPr="00915D35">
        <w:rPr>
          <w:rFonts w:eastAsia="Times New Roman" w:cs="Times New Roman"/>
          <w:szCs w:val="24"/>
          <w:lang w:eastAsia="tr-TR"/>
        </w:rPr>
        <w:t xml:space="preserve"> Değerlendirme Komisyonu: Akreditasyon sürecinde inceleme ve değerlendirme yapmak üzere SAYAK tarafından görevlendirilen uzmanları ifade eder.</w:t>
      </w:r>
    </w:p>
    <w:p w14:paraId="05A425D1" w14:textId="77777777" w:rsidR="00F74B22"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Madde 3: SAYAK Akreditasyonunun Amaçları</w:t>
      </w:r>
    </w:p>
    <w:p w14:paraId="001B75B1" w14:textId="054A1213"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Türkiye’de sağlık yönetimi eğitim programlarının ulusal ve uluslararası standartlara uygunluğunu sağlamak.</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Eğitim programlarının akademik ve mesleki yeterliliklerini artırarak sağlık yönetimi sektöründe kalite güvencesini teşvik etmek.</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Öğrencilerin ve işverenlerin sağlık yönetimi eğitim programlarına olan güvenini artırmak.</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Sağlık yönetimi alanında sürekli iyileştirme ve yenilikçi yaklaşımları desteklemek.</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Sağlık yönetimi eğitiminin bilimsel ve mesleki gelişimine katkı sunmak.</w:t>
      </w:r>
    </w:p>
    <w:p w14:paraId="7C569248"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4: Akreditasyon Başvurusu Yapabilecek Programlar ve Kurumlar</w:t>
      </w:r>
    </w:p>
    <w:p w14:paraId="6DD3985D" w14:textId="5BA5A277"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Akreditasyon başvurusunda bulunabilecek kurumlar:</w:t>
      </w:r>
      <w:r w:rsidRPr="00915D35">
        <w:rPr>
          <w:rFonts w:eastAsia="Times New Roman" w:cs="Times New Roman"/>
          <w:szCs w:val="24"/>
          <w:lang w:eastAsia="tr-TR"/>
        </w:rPr>
        <w:br/>
        <w:t>a) Türkiye’de sağlık yönetimi alanında eğitim veren yükseköğretim kurumları,</w:t>
      </w:r>
      <w:r w:rsidRPr="00915D35">
        <w:rPr>
          <w:rFonts w:eastAsia="Times New Roman" w:cs="Times New Roman"/>
          <w:szCs w:val="24"/>
          <w:lang w:eastAsia="tr-TR"/>
        </w:rPr>
        <w:br/>
        <w:t>b) SAYAK tarafından uygun görülen, sağlık yönetimi eğitimi veren diğer yetkili kurumlar.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Akreditasyon başvurusu yapabilecek programlar:</w:t>
      </w:r>
      <w:r w:rsidRPr="00915D35">
        <w:rPr>
          <w:rFonts w:eastAsia="Times New Roman" w:cs="Times New Roman"/>
          <w:szCs w:val="24"/>
          <w:lang w:eastAsia="tr-TR"/>
        </w:rPr>
        <w:br/>
        <w:t>a) Sağlık yönetimi alanında lisans programları,</w:t>
      </w:r>
      <w:r w:rsidRPr="00915D35">
        <w:rPr>
          <w:rFonts w:eastAsia="Times New Roman" w:cs="Times New Roman"/>
          <w:szCs w:val="24"/>
          <w:lang w:eastAsia="tr-TR"/>
        </w:rPr>
        <w:br/>
        <w:t>b) Sağlık yönetimi alanında tezli veya tezsiz yüksek lisans programları,</w:t>
      </w:r>
      <w:r w:rsidRPr="00915D35">
        <w:rPr>
          <w:rFonts w:eastAsia="Times New Roman" w:cs="Times New Roman"/>
          <w:szCs w:val="24"/>
          <w:lang w:eastAsia="tr-TR"/>
        </w:rPr>
        <w:br/>
        <w:t>c) Sağlık yönetimi alanında doktora programları.</w:t>
      </w:r>
    </w:p>
    <w:p w14:paraId="7E2EF88C" w14:textId="77777777" w:rsidR="00F74B22"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Madde 5: Akreditasyona Başvuru Süreci</w:t>
      </w:r>
    </w:p>
    <w:p w14:paraId="69892596" w14:textId="620BEA78"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Başvuru: Akreditasyon başvurusunda bulunmak isteyen kurumlar, SAYAK tarafından hazırlanan “Akreditasyon Başvuru </w:t>
      </w:r>
      <w:proofErr w:type="spellStart"/>
      <w:r w:rsidRPr="00915D35">
        <w:rPr>
          <w:rFonts w:eastAsia="Times New Roman" w:cs="Times New Roman"/>
          <w:szCs w:val="24"/>
          <w:lang w:eastAsia="tr-TR"/>
        </w:rPr>
        <w:t>Formu”nu</w:t>
      </w:r>
      <w:proofErr w:type="spellEnd"/>
      <w:r w:rsidRPr="00915D35">
        <w:rPr>
          <w:rFonts w:eastAsia="Times New Roman" w:cs="Times New Roman"/>
          <w:szCs w:val="24"/>
          <w:lang w:eastAsia="tr-TR"/>
        </w:rPr>
        <w:t xml:space="preserve"> eksiksiz doldurmalı ve gerekli belgeleri belirtilen süre içinde </w:t>
      </w:r>
      <w:proofErr w:type="spellStart"/>
      <w:r w:rsidRPr="00915D35">
        <w:rPr>
          <w:rFonts w:eastAsia="Times New Roman" w:cs="Times New Roman"/>
          <w:szCs w:val="24"/>
          <w:lang w:eastAsia="tr-TR"/>
        </w:rPr>
        <w:t>SAYAK’a</w:t>
      </w:r>
      <w:proofErr w:type="spellEnd"/>
      <w:r w:rsidRPr="00915D35">
        <w:rPr>
          <w:rFonts w:eastAsia="Times New Roman" w:cs="Times New Roman"/>
          <w:szCs w:val="24"/>
          <w:lang w:eastAsia="tr-TR"/>
        </w:rPr>
        <w:t xml:space="preserve"> iletmelidir.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Başvuru Değerlendirmesi: Başvuru, ön inceleme aşamasında SAYAK Sekreterliği tarafından şekil ve içerik bakımından kontrol edilir. Uygun bulunan başvurular, Değerlendirme Komisyonu’na iletilir.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Değerlendirme Süreci: Değerlendirme Komisyonu, başvuruyu yerinde inceleme, ilgili belgeleri analiz etme ve görüş alma yoluyla değerlendirir.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Akreditasyon Kararı: Değerlendirme Komisyonu’nun raporu doğrultusunda, nihai karar SAYAK Yönetim Kurulu tarafından alınır ve başvuru sahibine yazılı olarak bildirilir.</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İtiraz Hakkı: Akreditasyon kararına itiraz etmek isteyen kurumlar, kararın bildirilmesinden itibaren 15 gün içinde gerekçeli bir itiraz dilekçesi ile SAYAK Yönetim Kurulu’na başvurabilir.</w:t>
      </w:r>
    </w:p>
    <w:p w14:paraId="59198542"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lastRenderedPageBreak/>
        <w:t>Madde 5.1: Akreditasyon İçin İlk Kez Başvuran Programlar</w:t>
      </w:r>
    </w:p>
    <w:p w14:paraId="2382CA2C" w14:textId="72343D1D"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İlk kez akreditasyon başvurusunda bulunacak programlar, SAYAK tarafından hazırlanan “İlk Başvuru </w:t>
      </w:r>
      <w:proofErr w:type="spellStart"/>
      <w:r w:rsidRPr="00915D35">
        <w:rPr>
          <w:rFonts w:eastAsia="Times New Roman" w:cs="Times New Roman"/>
          <w:szCs w:val="24"/>
          <w:lang w:eastAsia="tr-TR"/>
        </w:rPr>
        <w:t>Dosyası”nı</w:t>
      </w:r>
      <w:proofErr w:type="spellEnd"/>
      <w:r w:rsidRPr="00915D35">
        <w:rPr>
          <w:rFonts w:eastAsia="Times New Roman" w:cs="Times New Roman"/>
          <w:szCs w:val="24"/>
          <w:lang w:eastAsia="tr-TR"/>
        </w:rPr>
        <w:t xml:space="preserve"> eksiksiz bir şekilde doldurarak teslim etmelidir.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Başvuru, programın öğrenim çıktıları, müfredat yapısı, akademik kadro yeterliliği, fiziki altyapı ve kalite yönetim sistemi gibi unsurlar üzerinden değerlendirilir.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İlk kez başvuruda bulunan programların başvuru sürecinde, SAYAK tarafından rehberlik sağlanabilir.</w:t>
      </w:r>
    </w:p>
    <w:p w14:paraId="768D1499"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5.2:</w:t>
      </w:r>
      <w:r w:rsidR="00F74B22">
        <w:rPr>
          <w:rFonts w:eastAsia="Times New Roman" w:cs="Times New Roman"/>
          <w:b/>
          <w:bCs/>
          <w:szCs w:val="24"/>
          <w:lang w:eastAsia="tr-TR"/>
        </w:rPr>
        <w:t xml:space="preserve"> </w:t>
      </w:r>
      <w:r w:rsidRPr="00915D35">
        <w:rPr>
          <w:rFonts w:eastAsia="Times New Roman" w:cs="Times New Roman"/>
          <w:b/>
          <w:bCs/>
          <w:szCs w:val="24"/>
          <w:lang w:eastAsia="tr-TR"/>
        </w:rPr>
        <w:t>Akreditasyon Süresi Dolan Programlar</w:t>
      </w:r>
    </w:p>
    <w:p w14:paraId="75435778" w14:textId="3AE17688"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Akreditasyon süresi dolan programlar, yeniden değerlendirme talebinde bulunmak için en geç akreditasyon süresinin bitiş tarihinden 6 ay önce </w:t>
      </w:r>
      <w:proofErr w:type="spellStart"/>
      <w:r w:rsidRPr="00915D35">
        <w:rPr>
          <w:rFonts w:eastAsia="Times New Roman" w:cs="Times New Roman"/>
          <w:szCs w:val="24"/>
          <w:lang w:eastAsia="tr-TR"/>
        </w:rPr>
        <w:t>SAYAK’a</w:t>
      </w:r>
      <w:proofErr w:type="spellEnd"/>
      <w:r w:rsidRPr="00915D35">
        <w:rPr>
          <w:rFonts w:eastAsia="Times New Roman" w:cs="Times New Roman"/>
          <w:szCs w:val="24"/>
          <w:lang w:eastAsia="tr-TR"/>
        </w:rPr>
        <w:t xml:space="preserve"> başvuru yapmalıdır.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Yeniden başvuru yapan programlar, daha önceki akreditasyon dönemine ait geri bildirim raporları ve gelişim planlarını başvuru dosyasına eklemekle yükümlüdür.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Akreditasyon süresi dolan programların yeniden değerlendirilmesinde, önceki denetimlerin sonuçları dikkate alınır.</w:t>
      </w:r>
    </w:p>
    <w:p w14:paraId="59BBB45B" w14:textId="3DE47BD5" w:rsidR="00F74B22" w:rsidRPr="00F74B22"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Madde 6: Program Değerlendirme Takımları</w:t>
      </w:r>
    </w:p>
    <w:p w14:paraId="3C9B91F7" w14:textId="1B139805"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Program değerlendirme takımları, SAYAK tarafından belirlenen ve sağlık yönetimi alanında uzman kişilerden oluşur.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Takım üyeleri; akademisyenler, sektör temsilcileri ve kalite yönetimi uzmanlarından seçilir.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Takım, en az bir başkan, bir raportör ve iki üyeden oluşur.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Takım üyeleri, değerlendirme sürecinde tarafsızlık ve gizlilik ilkesine uygun hareket etmekle yükümlüdür.</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Değerlendirme sürecinde meydana gelebilecek çıkar çatışmaları SAYAK Yönetim Kurulu’na bildirilir ve gerekirse ilgili takım üyesi değiştirilir.</w:t>
      </w:r>
    </w:p>
    <w:p w14:paraId="1596ECEF"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7: Programların Değerlendirmesi ve Standartların Yorumlanması</w:t>
      </w:r>
    </w:p>
    <w:p w14:paraId="03006C0D" w14:textId="037AB5A3"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Program değerlendirme sürecinde, SAYAK tarafından belirlenen akreditasyon standartları esas alınır.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Standartların yorumlanması, değerlendirme takımının programın özel koşullarını dikkate alarak objektif ve ölçülebilir kriterlerle gerçekleştirilir.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Değerlendirme sürecinde, uluslararası kalite standartları ve sağlık yönetimi alanındaki en iyi uygulamalar referans alınır.</w:t>
      </w:r>
      <w:r w:rsidRPr="00915D35">
        <w:rPr>
          <w:rFonts w:eastAsia="Times New Roman" w:cs="Times New Roman"/>
          <w:szCs w:val="24"/>
          <w:lang w:eastAsia="tr-TR"/>
        </w:rPr>
        <w:br/>
      </w:r>
      <w:r w:rsidRPr="00915D35">
        <w:rPr>
          <w:rFonts w:eastAsia="Times New Roman" w:cs="Times New Roman"/>
          <w:b/>
          <w:bCs/>
          <w:szCs w:val="24"/>
          <w:lang w:eastAsia="tr-TR"/>
        </w:rPr>
        <w:lastRenderedPageBreak/>
        <w:t>(4)</w:t>
      </w:r>
      <w:r w:rsidRPr="00915D35">
        <w:rPr>
          <w:rFonts w:eastAsia="Times New Roman" w:cs="Times New Roman"/>
          <w:szCs w:val="24"/>
          <w:lang w:eastAsia="tr-TR"/>
        </w:rPr>
        <w:t xml:space="preserve"> Standartların yorumlanması sürecinde, SAYAK tarafından hazırlanan rehber dokümanlar kullanılabilir.</w:t>
      </w:r>
    </w:p>
    <w:p w14:paraId="65B056AA" w14:textId="101AE373" w:rsidR="00F74B22" w:rsidRPr="00F74B22"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Madde 8: Program Değerlendirme Sürecinin Aşamaları</w:t>
      </w:r>
    </w:p>
    <w:p w14:paraId="423DDA2E" w14:textId="177103ED"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w:t>
      </w:r>
      <w:r w:rsidRPr="00915D35">
        <w:rPr>
          <w:rFonts w:eastAsia="Times New Roman" w:cs="Times New Roman"/>
          <w:b/>
          <w:bCs/>
          <w:szCs w:val="24"/>
          <w:lang w:eastAsia="tr-TR"/>
        </w:rPr>
        <w:t>Başvuru İncelemesi:</w:t>
      </w:r>
      <w:r w:rsidRPr="00915D35">
        <w:rPr>
          <w:rFonts w:eastAsia="Times New Roman" w:cs="Times New Roman"/>
          <w:szCs w:val="24"/>
          <w:lang w:eastAsia="tr-TR"/>
        </w:rPr>
        <w:t xml:space="preserve"> Başvuru dosyası, öncelikle SAYAK Sekreterliği tarafından şekil ve içerik bakımından kontrol edilir. Uygun bulunan başvurular değerlendirme sürecine alınır.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w:t>
      </w:r>
      <w:r w:rsidRPr="00915D35">
        <w:rPr>
          <w:rFonts w:eastAsia="Times New Roman" w:cs="Times New Roman"/>
          <w:b/>
          <w:bCs/>
          <w:szCs w:val="24"/>
          <w:lang w:eastAsia="tr-TR"/>
        </w:rPr>
        <w:t>Öz Değerlendirme Raporu:</w:t>
      </w:r>
      <w:r w:rsidRPr="00915D35">
        <w:rPr>
          <w:rFonts w:eastAsia="Times New Roman" w:cs="Times New Roman"/>
          <w:szCs w:val="24"/>
          <w:lang w:eastAsia="tr-TR"/>
        </w:rPr>
        <w:t xml:space="preserve"> Program, SAYAK tarafından belirlenen formatta bir öz değerlendirme raporu hazırlayarak sunar. Bu rapor, programın mevcut durumu ve kalite geliştirme çalışmaları hakkında bilgi içerir.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w:t>
      </w:r>
      <w:r w:rsidRPr="00915D35">
        <w:rPr>
          <w:rFonts w:eastAsia="Times New Roman" w:cs="Times New Roman"/>
          <w:b/>
          <w:bCs/>
          <w:szCs w:val="24"/>
          <w:lang w:eastAsia="tr-TR"/>
        </w:rPr>
        <w:t>Yerinde Ziyaret:</w:t>
      </w:r>
      <w:r w:rsidRPr="00915D35">
        <w:rPr>
          <w:rFonts w:eastAsia="Times New Roman" w:cs="Times New Roman"/>
          <w:szCs w:val="24"/>
          <w:lang w:eastAsia="tr-TR"/>
        </w:rPr>
        <w:t xml:space="preserve"> Değerlendirme takımı, başvuru sahibinin eğitim kurumunu ziyaret ederek fiziki altyapı, akademik kadro ve diğer unsurları yerinde incelemekle görevlidir.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w:t>
      </w:r>
      <w:r w:rsidRPr="00915D35">
        <w:rPr>
          <w:rFonts w:eastAsia="Times New Roman" w:cs="Times New Roman"/>
          <w:b/>
          <w:bCs/>
          <w:szCs w:val="24"/>
          <w:lang w:eastAsia="tr-TR"/>
        </w:rPr>
        <w:t>Raporlama ve Geri Bildirim:</w:t>
      </w:r>
      <w:r w:rsidRPr="00915D35">
        <w:rPr>
          <w:rFonts w:eastAsia="Times New Roman" w:cs="Times New Roman"/>
          <w:szCs w:val="24"/>
          <w:lang w:eastAsia="tr-TR"/>
        </w:rPr>
        <w:t xml:space="preserve"> Yerinde ziyaret ve değerlendirme sürecinin ardından, değerlendirme takımı detaylı bir rapor hazırlar ve rapor SAYAK Yönetim Kurulu’na sunulur.</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w:t>
      </w:r>
      <w:r w:rsidRPr="00915D35">
        <w:rPr>
          <w:rFonts w:eastAsia="Times New Roman" w:cs="Times New Roman"/>
          <w:b/>
          <w:bCs/>
          <w:szCs w:val="24"/>
          <w:lang w:eastAsia="tr-TR"/>
        </w:rPr>
        <w:t>Karar:</w:t>
      </w:r>
      <w:r w:rsidRPr="00915D35">
        <w:rPr>
          <w:rFonts w:eastAsia="Times New Roman" w:cs="Times New Roman"/>
          <w:szCs w:val="24"/>
          <w:lang w:eastAsia="tr-TR"/>
        </w:rPr>
        <w:t xml:space="preserve"> SAYAK Yönetim Kurulu, değerlendirme raporu doğrultusunda nihai akreditasyon kararını verir ve başvuru sahibine yazılı olarak bildirir.</w:t>
      </w:r>
      <w:r w:rsidRPr="00915D35">
        <w:rPr>
          <w:rFonts w:eastAsia="Times New Roman" w:cs="Times New Roman"/>
          <w:szCs w:val="24"/>
          <w:lang w:eastAsia="tr-TR"/>
        </w:rPr>
        <w:br/>
      </w:r>
      <w:r w:rsidRPr="00915D35">
        <w:rPr>
          <w:rFonts w:eastAsia="Times New Roman" w:cs="Times New Roman"/>
          <w:b/>
          <w:bCs/>
          <w:szCs w:val="24"/>
          <w:lang w:eastAsia="tr-TR"/>
        </w:rPr>
        <w:t>(6)</w:t>
      </w:r>
      <w:r w:rsidRPr="00915D35">
        <w:rPr>
          <w:rFonts w:eastAsia="Times New Roman" w:cs="Times New Roman"/>
          <w:szCs w:val="24"/>
          <w:lang w:eastAsia="tr-TR"/>
        </w:rPr>
        <w:t xml:space="preserve"> </w:t>
      </w:r>
      <w:r w:rsidRPr="00915D35">
        <w:rPr>
          <w:rFonts w:eastAsia="Times New Roman" w:cs="Times New Roman"/>
          <w:b/>
          <w:bCs/>
          <w:szCs w:val="24"/>
          <w:lang w:eastAsia="tr-TR"/>
        </w:rPr>
        <w:t>İzleme ve Sürekli Gelişim:</w:t>
      </w:r>
      <w:r w:rsidRPr="00915D35">
        <w:rPr>
          <w:rFonts w:eastAsia="Times New Roman" w:cs="Times New Roman"/>
          <w:szCs w:val="24"/>
          <w:lang w:eastAsia="tr-TR"/>
        </w:rPr>
        <w:t xml:space="preserve"> Akreditasyon alan programlar, belirlenen aralıklarla izleme raporları sunar ve sürekli iyileştirme faaliyetleri yürütmekle yükümlüdür.</w:t>
      </w:r>
    </w:p>
    <w:p w14:paraId="4156E0FE" w14:textId="05545A5A" w:rsidR="00F74B22" w:rsidRPr="00F74B22"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Madde 9: Değerlendirme Sürecinin Ayrıntıları</w:t>
      </w:r>
    </w:p>
    <w:p w14:paraId="330526B9" w14:textId="449C7590"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Değerlendirme süreci, başvuru sahibinin öz değerlendirme raporu ve yerinde ziyaret sonuçları temel alınarak yürütülür.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Yerinde ziyaret sırasında, akademik kadro, öğrenci temsilcileri ve idari personel ile görüşmeler yapılır; ders materyalleri, fiziki altyapı ve laboratuvarlar incelenir.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Değerlendirme sürecinde, programın öğrenim çıktılarının ulusal ve uluslararası standartlara uygunluğu esas alınır.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Değerlendirme sırasında elde edilen tüm bilgiler, gizlilik ilkesi çerçevesinde saklanır ve yalnızca akreditasyon süreci kapsamında kullanılır.</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Program değerlendirme süreci, başvurunun kabulünden itibaren en fazla 6 ay içinde tamamlanır.</w:t>
      </w:r>
    </w:p>
    <w:p w14:paraId="458710C6"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10: Tutarlılık ve Yazım Kontrolleri</w:t>
      </w:r>
    </w:p>
    <w:p w14:paraId="3277F4E6" w14:textId="18BDD452"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Değerlendirme takımları tarafından hazırlanan raporlar, içerik ve yazım açısından SAYAK Sekreterliği tarafından kontrol edilir.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Raporların standart bir formatta hazırlanması ve değerlendirme kriterlerine uygunluğu sağlanır.</w:t>
      </w:r>
      <w:r w:rsidRPr="00915D35">
        <w:rPr>
          <w:rFonts w:eastAsia="Times New Roman" w:cs="Times New Roman"/>
          <w:szCs w:val="24"/>
          <w:lang w:eastAsia="tr-TR"/>
        </w:rPr>
        <w:br/>
      </w:r>
      <w:r w:rsidRPr="00915D35">
        <w:rPr>
          <w:rFonts w:eastAsia="Times New Roman" w:cs="Times New Roman"/>
          <w:b/>
          <w:bCs/>
          <w:szCs w:val="24"/>
          <w:lang w:eastAsia="tr-TR"/>
        </w:rPr>
        <w:lastRenderedPageBreak/>
        <w:t>(3)</w:t>
      </w:r>
      <w:r w:rsidRPr="00915D35">
        <w:rPr>
          <w:rFonts w:eastAsia="Times New Roman" w:cs="Times New Roman"/>
          <w:szCs w:val="24"/>
          <w:lang w:eastAsia="tr-TR"/>
        </w:rPr>
        <w:t xml:space="preserve"> Her rapor, tutarlılık ve objektiflik açısından SAYAK Yönetim Kurulu tarafından gözden geçirilir.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Raporlarda tespit edilen yazım hataları, değerlendirme takımının onayı alınarak düzeltilir.</w:t>
      </w:r>
    </w:p>
    <w:p w14:paraId="108E3BE7"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11: Akreditasyon Kararları</w:t>
      </w:r>
    </w:p>
    <w:p w14:paraId="399CD848" w14:textId="096F5EA3"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SAYAK Yönetim Kurulu, değerlendirme raporları doğrultusunda aşağıdaki akreditasyon kararlarını verebilir:</w:t>
      </w:r>
      <w:r w:rsidRPr="00915D35">
        <w:rPr>
          <w:rFonts w:eastAsia="Times New Roman" w:cs="Times New Roman"/>
          <w:szCs w:val="24"/>
          <w:lang w:eastAsia="tr-TR"/>
        </w:rPr>
        <w:br/>
        <w:t xml:space="preserve">a) </w:t>
      </w:r>
      <w:r w:rsidRPr="00915D35">
        <w:rPr>
          <w:rFonts w:eastAsia="Times New Roman" w:cs="Times New Roman"/>
          <w:b/>
          <w:bCs/>
          <w:szCs w:val="24"/>
          <w:lang w:eastAsia="tr-TR"/>
        </w:rPr>
        <w:t>Tam Akreditasyon:</w:t>
      </w:r>
      <w:r w:rsidRPr="00915D35">
        <w:rPr>
          <w:rFonts w:eastAsia="Times New Roman" w:cs="Times New Roman"/>
          <w:szCs w:val="24"/>
          <w:lang w:eastAsia="tr-TR"/>
        </w:rPr>
        <w:t xml:space="preserve"> Programın tüm standartları karşıladığı durumda verilir.</w:t>
      </w:r>
      <w:r w:rsidRPr="00915D35">
        <w:rPr>
          <w:rFonts w:eastAsia="Times New Roman" w:cs="Times New Roman"/>
          <w:szCs w:val="24"/>
          <w:lang w:eastAsia="tr-TR"/>
        </w:rPr>
        <w:br/>
        <w:t xml:space="preserve">b) </w:t>
      </w:r>
      <w:r w:rsidRPr="00915D35">
        <w:rPr>
          <w:rFonts w:eastAsia="Times New Roman" w:cs="Times New Roman"/>
          <w:b/>
          <w:bCs/>
          <w:szCs w:val="24"/>
          <w:lang w:eastAsia="tr-TR"/>
        </w:rPr>
        <w:t>Şartlı Akreditasyon:</w:t>
      </w:r>
      <w:r w:rsidRPr="00915D35">
        <w:rPr>
          <w:rFonts w:eastAsia="Times New Roman" w:cs="Times New Roman"/>
          <w:szCs w:val="24"/>
          <w:lang w:eastAsia="tr-TR"/>
        </w:rPr>
        <w:t xml:space="preserve"> Programın belirli eksikliklerinin giderilmesi koşuluyla geçici olarak verilir.</w:t>
      </w:r>
      <w:r w:rsidRPr="00915D35">
        <w:rPr>
          <w:rFonts w:eastAsia="Times New Roman" w:cs="Times New Roman"/>
          <w:szCs w:val="24"/>
          <w:lang w:eastAsia="tr-TR"/>
        </w:rPr>
        <w:br/>
        <w:t xml:space="preserve">c) </w:t>
      </w:r>
      <w:r w:rsidRPr="00915D35">
        <w:rPr>
          <w:rFonts w:eastAsia="Times New Roman" w:cs="Times New Roman"/>
          <w:b/>
          <w:bCs/>
          <w:szCs w:val="24"/>
          <w:lang w:eastAsia="tr-TR"/>
        </w:rPr>
        <w:t>Akreditasyon Reddi:</w:t>
      </w:r>
      <w:r w:rsidRPr="00915D35">
        <w:rPr>
          <w:rFonts w:eastAsia="Times New Roman" w:cs="Times New Roman"/>
          <w:szCs w:val="24"/>
          <w:lang w:eastAsia="tr-TR"/>
        </w:rPr>
        <w:t xml:space="preserve"> Programın standartları karşılamadığı durumlarda verilir.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Akreditasyon kararı, başvuru sahibine yazılı olarak bildirilir ve gerekçeleri ayrıntılı şekilde açıklanır.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Şartlı akreditasyon alan programlar, belirlenen süre içinde eksikliklerini gidermekle yükümlüdür.</w:t>
      </w:r>
    </w:p>
    <w:p w14:paraId="0524C7DD"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12: Gelişim Raporu</w:t>
      </w:r>
    </w:p>
    <w:p w14:paraId="248D57D4" w14:textId="0B2E2A98"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Akredite edilen programlar, her yıl </w:t>
      </w:r>
      <w:proofErr w:type="spellStart"/>
      <w:r w:rsidRPr="00915D35">
        <w:rPr>
          <w:rFonts w:eastAsia="Times New Roman" w:cs="Times New Roman"/>
          <w:szCs w:val="24"/>
          <w:lang w:eastAsia="tr-TR"/>
        </w:rPr>
        <w:t>SAYAK’a</w:t>
      </w:r>
      <w:proofErr w:type="spellEnd"/>
      <w:r w:rsidRPr="00915D35">
        <w:rPr>
          <w:rFonts w:eastAsia="Times New Roman" w:cs="Times New Roman"/>
          <w:szCs w:val="24"/>
          <w:lang w:eastAsia="tr-TR"/>
        </w:rPr>
        <w:t xml:space="preserve"> bir gelişim raporu sunmak zorundadır.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Gelişim raporları, programın eksikliklerini nasıl giderdiğini ve sürekli iyileştirme çalışmalarını içerir.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Gelişim raporları, SAYAK tarafından incelenir ve gerekli görüldüğünde yerinde denetim yapılabilir.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Gelişim raporu sunmayan programlara, akreditasyonun askıya alınabileceği yazılı olarak bildirilir.</w:t>
      </w:r>
    </w:p>
    <w:p w14:paraId="5333CD35"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13: Akreditasyon Kararlarının Topluma Duyurulması</w:t>
      </w:r>
    </w:p>
    <w:p w14:paraId="5D6F2386" w14:textId="018129F8"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Akreditasyon kararları, </w:t>
      </w:r>
      <w:proofErr w:type="spellStart"/>
      <w:r w:rsidRPr="00915D35">
        <w:rPr>
          <w:rFonts w:eastAsia="Times New Roman" w:cs="Times New Roman"/>
          <w:szCs w:val="24"/>
          <w:lang w:eastAsia="tr-TR"/>
        </w:rPr>
        <w:t>SAYAK’ın</w:t>
      </w:r>
      <w:proofErr w:type="spellEnd"/>
      <w:r w:rsidRPr="00915D35">
        <w:rPr>
          <w:rFonts w:eastAsia="Times New Roman" w:cs="Times New Roman"/>
          <w:szCs w:val="24"/>
          <w:lang w:eastAsia="tr-TR"/>
        </w:rPr>
        <w:t xml:space="preserve"> resmi internet sitesinde kamuoyuna duyurulur.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Duyurularda, akreditasyon alan programın adı, kurumun adı ve akreditasyon süresi belirtilir.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Akreditasyon kararı reddedilen programların isimleri açıklanmaz; yalnızca genel istatistiksel bilgiler paylaşılır.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Akreditasyon kararlarının duyurulması sırasında şeffaflık ve etik kurallara uygun hareket edilir.</w:t>
      </w:r>
    </w:p>
    <w:p w14:paraId="3B487851" w14:textId="663C920A" w:rsidR="00F74B22" w:rsidRPr="00F74B22"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Madde 14: İtirazlar</w:t>
      </w:r>
    </w:p>
    <w:p w14:paraId="1C6B1EEB" w14:textId="38E81A5F"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lastRenderedPageBreak/>
        <w:t>(1)</w:t>
      </w:r>
      <w:r w:rsidRPr="00915D35">
        <w:rPr>
          <w:rFonts w:eastAsia="Times New Roman" w:cs="Times New Roman"/>
          <w:szCs w:val="24"/>
          <w:lang w:eastAsia="tr-TR"/>
        </w:rPr>
        <w:t xml:space="preserve"> SAYAK tarafından alınan akreditasyon kararlarına itiraz hakkı saklıdır. İtirazlar, kararın başvuru sahibine tebliğ edilmesinden itibaren 15 gün içinde yazılı olarak yapılır.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İtiraz başvurusu, gerekçeleri açıkça belirtilmiş bir dilekçe ile SAYAK Yönetim Kurulu’na sunulur.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Yönetim Kurulu, itirazı incelemek üzere bağımsız bir değerlendirme komisyonu oluşturabilir. Bu komisyon, itiraz edilen hususları tekrar değerlendirir ve raporunu Yönetim Kurulu’na sunar.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İtiraz sonucu, Yönetim Kurulu tarafından en geç 30 gün içinde karara bağlanır ve başvuru sahibine yazılı olarak bildirilir.</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İtiraz sürecinde, tarafsızlık ve gizlilik ilkelerine tam olarak uyulur.</w:t>
      </w:r>
    </w:p>
    <w:p w14:paraId="53A35AC7"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15: Şikayetler</w:t>
      </w:r>
    </w:p>
    <w:p w14:paraId="640CD2E7" w14:textId="6DB4FEE4"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w:t>
      </w:r>
      <w:proofErr w:type="spellStart"/>
      <w:r w:rsidRPr="00915D35">
        <w:rPr>
          <w:rFonts w:eastAsia="Times New Roman" w:cs="Times New Roman"/>
          <w:szCs w:val="24"/>
          <w:lang w:eastAsia="tr-TR"/>
        </w:rPr>
        <w:t>SAYAK’ın</w:t>
      </w:r>
      <w:proofErr w:type="spellEnd"/>
      <w:r w:rsidRPr="00915D35">
        <w:rPr>
          <w:rFonts w:eastAsia="Times New Roman" w:cs="Times New Roman"/>
          <w:szCs w:val="24"/>
          <w:lang w:eastAsia="tr-TR"/>
        </w:rPr>
        <w:t xml:space="preserve"> akreditasyon süreci, değerlendirme yöntemleri veya alınan kararlar ile ilgili şikayetler, yazılı olarak SAYAK Sekreterliği’ne iletilir.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Şikayet başvuruları, detaylı bir inceleme için ilgili birime veya Yönetim Kurulu’na yönlendirilir.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Şikayetler, en geç 30 gün içinde değerlendirilir ve sonucunda alınan karar, başvuru sahibine yazılı olarak bildirilir.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Şikayet sürecinde, şikayetçi ve şikayet edilen tarafların haklarının korunmasına özen gösterilir.</w:t>
      </w:r>
      <w:r w:rsidRPr="00915D35">
        <w:rPr>
          <w:rFonts w:eastAsia="Times New Roman" w:cs="Times New Roman"/>
          <w:szCs w:val="24"/>
          <w:lang w:eastAsia="tr-TR"/>
        </w:rPr>
        <w:br/>
      </w:r>
      <w:r w:rsidRPr="00915D35">
        <w:rPr>
          <w:rFonts w:eastAsia="Times New Roman" w:cs="Times New Roman"/>
          <w:b/>
          <w:bCs/>
          <w:szCs w:val="24"/>
          <w:lang w:eastAsia="tr-TR"/>
        </w:rPr>
        <w:t>(5)</w:t>
      </w:r>
      <w:r w:rsidRPr="00915D35">
        <w:rPr>
          <w:rFonts w:eastAsia="Times New Roman" w:cs="Times New Roman"/>
          <w:szCs w:val="24"/>
          <w:lang w:eastAsia="tr-TR"/>
        </w:rPr>
        <w:t xml:space="preserve"> Şikayetlere ilişkin tüm süreçler, gizlilik ve adalet ilkelerine uygun olarak yürütülür.</w:t>
      </w:r>
    </w:p>
    <w:p w14:paraId="162113D1"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16: Değerlendirme Dönemi İçindeki Değişiklikler</w:t>
      </w:r>
    </w:p>
    <w:p w14:paraId="3AE7D8BE" w14:textId="6D70A970" w:rsidR="00915D35" w:rsidRPr="00915D35" w:rsidRDefault="00915D35" w:rsidP="00F74B22">
      <w:pPr>
        <w:spacing w:line="360" w:lineRule="auto"/>
        <w:rPr>
          <w:rFonts w:eastAsia="Times New Roman" w:cs="Times New Roman"/>
          <w:b/>
          <w:bCs/>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Değerlendirme süreci devam ederken program veya kurum yapısında meydana gelen önemli değişiklikler, başvuru sahibi tarafından derhal </w:t>
      </w:r>
      <w:proofErr w:type="spellStart"/>
      <w:r w:rsidRPr="00915D35">
        <w:rPr>
          <w:rFonts w:eastAsia="Times New Roman" w:cs="Times New Roman"/>
          <w:szCs w:val="24"/>
          <w:lang w:eastAsia="tr-TR"/>
        </w:rPr>
        <w:t>SAYAK’a</w:t>
      </w:r>
      <w:proofErr w:type="spellEnd"/>
      <w:r w:rsidRPr="00915D35">
        <w:rPr>
          <w:rFonts w:eastAsia="Times New Roman" w:cs="Times New Roman"/>
          <w:szCs w:val="24"/>
          <w:lang w:eastAsia="tr-TR"/>
        </w:rPr>
        <w:t xml:space="preserve"> bildirilmelidir.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Önemli değişiklikler arasında; program müfredatında büyük revizyonlar, akademik kadroda geniş kapsamlı değişiklikler, fiziki altyapı eksiklikleri ve öğrenci kontenjanlarında yapılan köklü değişiklikler yer alır.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Bildirilen değişiklikler, değerlendirme sürecinin yeniden düzenlenmesini veya ek incelemeler yapılmasını gerektirebilir.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Değerlendirme dönemi içindeki değişikliklerin bildirilmemesi halinde, programın başvurusu geçersiz sayılabilir.</w:t>
      </w:r>
    </w:p>
    <w:p w14:paraId="2622A462"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17: Yönergede Değişiklik</w:t>
      </w:r>
    </w:p>
    <w:p w14:paraId="2DE5F192" w14:textId="7E29D6CE"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lastRenderedPageBreak/>
        <w:t>(1)</w:t>
      </w:r>
      <w:r w:rsidRPr="00915D35">
        <w:rPr>
          <w:rFonts w:eastAsia="Times New Roman" w:cs="Times New Roman"/>
          <w:szCs w:val="24"/>
          <w:lang w:eastAsia="tr-TR"/>
        </w:rPr>
        <w:t xml:space="preserve"> Bu yönerge, SAYAK Yönetim Kurulu’nun teklifi ve Genel Kurul’un onayı ile değiştirilebilir.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Yönerge değişikliği teklifleri, en az bir ay öncesinden Genel Kurul üyelerine yazılı olarak bildirilir.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Yönergede yapılacak değişiklikler, Genel Kurul’da hazır bulunan üyelerin salt çoğunluğunun oyu ile kabul edilir.</w:t>
      </w:r>
      <w:r w:rsidRPr="00915D35">
        <w:rPr>
          <w:rFonts w:eastAsia="Times New Roman" w:cs="Times New Roman"/>
          <w:szCs w:val="24"/>
          <w:lang w:eastAsia="tr-TR"/>
        </w:rPr>
        <w:br/>
      </w:r>
      <w:r w:rsidRPr="00915D35">
        <w:rPr>
          <w:rFonts w:eastAsia="Times New Roman" w:cs="Times New Roman"/>
          <w:b/>
          <w:bCs/>
          <w:szCs w:val="24"/>
          <w:lang w:eastAsia="tr-TR"/>
        </w:rPr>
        <w:t>(4)</w:t>
      </w:r>
      <w:r w:rsidRPr="00915D35">
        <w:rPr>
          <w:rFonts w:eastAsia="Times New Roman" w:cs="Times New Roman"/>
          <w:szCs w:val="24"/>
          <w:lang w:eastAsia="tr-TR"/>
        </w:rPr>
        <w:t xml:space="preserve"> Yönerge değişiklikleri, değişiklik tarihinden itibaren yürürlüğe girer ve SAYAK Sekreterliği tarafından duyurulur.</w:t>
      </w:r>
    </w:p>
    <w:p w14:paraId="38453A8F"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Madde 18: Yürürlük</w:t>
      </w:r>
    </w:p>
    <w:p w14:paraId="37F6AA65" w14:textId="685FA4E1" w:rsidR="00915D35" w:rsidRPr="00915D35"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(1)</w:t>
      </w:r>
      <w:r w:rsidRPr="00915D35">
        <w:rPr>
          <w:rFonts w:eastAsia="Times New Roman" w:cs="Times New Roman"/>
          <w:szCs w:val="24"/>
          <w:lang w:eastAsia="tr-TR"/>
        </w:rPr>
        <w:t xml:space="preserve"> Bu yönerge, SAYAK Yönetim Kurulu tarafından onaylandığı tarihte yürürlüğe girer.</w:t>
      </w:r>
      <w:r w:rsidRPr="00915D35">
        <w:rPr>
          <w:rFonts w:eastAsia="Times New Roman" w:cs="Times New Roman"/>
          <w:szCs w:val="24"/>
          <w:lang w:eastAsia="tr-TR"/>
        </w:rPr>
        <w:br/>
      </w:r>
      <w:r w:rsidRPr="00915D35">
        <w:rPr>
          <w:rFonts w:eastAsia="Times New Roman" w:cs="Times New Roman"/>
          <w:b/>
          <w:bCs/>
          <w:szCs w:val="24"/>
          <w:lang w:eastAsia="tr-TR"/>
        </w:rPr>
        <w:t>(2)</w:t>
      </w:r>
      <w:r w:rsidRPr="00915D35">
        <w:rPr>
          <w:rFonts w:eastAsia="Times New Roman" w:cs="Times New Roman"/>
          <w:szCs w:val="24"/>
          <w:lang w:eastAsia="tr-TR"/>
        </w:rPr>
        <w:t xml:space="preserve"> Yönerge hükümleri, SAYAK Yönetim Kurulu tarafından yürütülür.</w:t>
      </w:r>
      <w:r w:rsidRPr="00915D35">
        <w:rPr>
          <w:rFonts w:eastAsia="Times New Roman" w:cs="Times New Roman"/>
          <w:szCs w:val="24"/>
          <w:lang w:eastAsia="tr-TR"/>
        </w:rPr>
        <w:br/>
      </w:r>
      <w:r w:rsidRPr="00915D35">
        <w:rPr>
          <w:rFonts w:eastAsia="Times New Roman" w:cs="Times New Roman"/>
          <w:b/>
          <w:bCs/>
          <w:szCs w:val="24"/>
          <w:lang w:eastAsia="tr-TR"/>
        </w:rPr>
        <w:t>(3)</w:t>
      </w:r>
      <w:r w:rsidRPr="00915D35">
        <w:rPr>
          <w:rFonts w:eastAsia="Times New Roman" w:cs="Times New Roman"/>
          <w:szCs w:val="24"/>
          <w:lang w:eastAsia="tr-TR"/>
        </w:rPr>
        <w:t xml:space="preserve"> Bu yönergeye ilişkin her türlü bilgi ve belge, </w:t>
      </w:r>
      <w:proofErr w:type="spellStart"/>
      <w:r w:rsidRPr="00915D35">
        <w:rPr>
          <w:rFonts w:eastAsia="Times New Roman" w:cs="Times New Roman"/>
          <w:szCs w:val="24"/>
          <w:lang w:eastAsia="tr-TR"/>
        </w:rPr>
        <w:t>SAYAK’ın</w:t>
      </w:r>
      <w:proofErr w:type="spellEnd"/>
      <w:r w:rsidRPr="00915D35">
        <w:rPr>
          <w:rFonts w:eastAsia="Times New Roman" w:cs="Times New Roman"/>
          <w:szCs w:val="24"/>
          <w:lang w:eastAsia="tr-TR"/>
        </w:rPr>
        <w:t xml:space="preserve"> resmi internet sitesinde kamuoyuna açık bir şekilde paylaşılır.</w:t>
      </w:r>
    </w:p>
    <w:p w14:paraId="79565043" w14:textId="77777777" w:rsidR="00F74B22" w:rsidRDefault="00915D35" w:rsidP="00F74B22">
      <w:pPr>
        <w:spacing w:line="360" w:lineRule="auto"/>
        <w:rPr>
          <w:rFonts w:eastAsia="Times New Roman" w:cs="Times New Roman"/>
          <w:szCs w:val="24"/>
          <w:lang w:eastAsia="tr-TR"/>
        </w:rPr>
      </w:pPr>
      <w:r w:rsidRPr="00915D35">
        <w:rPr>
          <w:rFonts w:eastAsia="Times New Roman" w:cs="Times New Roman"/>
          <w:b/>
          <w:bCs/>
          <w:szCs w:val="24"/>
          <w:lang w:eastAsia="tr-TR"/>
        </w:rPr>
        <w:t>Son Hükümler</w:t>
      </w:r>
    </w:p>
    <w:p w14:paraId="69854DA5" w14:textId="1B4D2377" w:rsidR="00EE7593" w:rsidRPr="00316593" w:rsidRDefault="00915D35" w:rsidP="00F74B22">
      <w:pPr>
        <w:spacing w:line="360" w:lineRule="auto"/>
        <w:rPr>
          <w:rFonts w:eastAsia="Times New Roman" w:cs="Times New Roman"/>
          <w:szCs w:val="24"/>
          <w:lang w:eastAsia="tr-TR"/>
        </w:rPr>
      </w:pPr>
      <w:r w:rsidRPr="00915D35">
        <w:rPr>
          <w:rFonts w:eastAsia="Times New Roman" w:cs="Times New Roman"/>
          <w:szCs w:val="24"/>
          <w:lang w:eastAsia="tr-TR"/>
        </w:rPr>
        <w:t xml:space="preserve">Bu yönerge, </w:t>
      </w:r>
      <w:proofErr w:type="spellStart"/>
      <w:r w:rsidRPr="00915D35">
        <w:rPr>
          <w:rFonts w:eastAsia="Times New Roman" w:cs="Times New Roman"/>
          <w:szCs w:val="24"/>
          <w:lang w:eastAsia="tr-TR"/>
        </w:rPr>
        <w:t>SAYAK’ın</w:t>
      </w:r>
      <w:proofErr w:type="spellEnd"/>
      <w:r w:rsidRPr="00915D35">
        <w:rPr>
          <w:rFonts w:eastAsia="Times New Roman" w:cs="Times New Roman"/>
          <w:szCs w:val="24"/>
          <w:lang w:eastAsia="tr-TR"/>
        </w:rPr>
        <w:t xml:space="preserve"> faaliyetlerinin düzenlenmesi ve sağlık yönetimi eğitim programlarının kalitesinin artırılması amacıyla hazırlanmış olup SAYAK Yönetim Kurulu tarafından uygulanır.</w:t>
      </w:r>
      <w:r w:rsidR="00EE7593" w:rsidRPr="00EE7593">
        <w:t xml:space="preserve"> </w:t>
      </w:r>
    </w:p>
    <w:sectPr w:rsidR="00EE7593" w:rsidRPr="003165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4443A" w14:textId="77777777" w:rsidR="00A213DF" w:rsidRDefault="00A213DF" w:rsidP="00FD7CBC">
      <w:pPr>
        <w:spacing w:after="0"/>
      </w:pPr>
      <w:r>
        <w:separator/>
      </w:r>
    </w:p>
  </w:endnote>
  <w:endnote w:type="continuationSeparator" w:id="0">
    <w:p w14:paraId="5C62D575" w14:textId="77777777" w:rsidR="00A213DF" w:rsidRDefault="00A213DF" w:rsidP="00FD7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A2A1" w14:textId="3AB86DFC" w:rsidR="00FD7CBC" w:rsidRDefault="00F74B22">
    <w:pPr>
      <w:pStyle w:val="AltBilgi"/>
      <w:jc w:val="right"/>
    </w:pPr>
    <w:r>
      <w:t xml:space="preserve">SAYAK-Kalite ve Akreditasyon Uygulama Yönergesi                                                 Sayfa: </w:t>
    </w:r>
    <w:sdt>
      <w:sdtPr>
        <w:id w:val="345910531"/>
        <w:docPartObj>
          <w:docPartGallery w:val="Page Numbers (Bottom of Page)"/>
          <w:docPartUnique/>
        </w:docPartObj>
      </w:sdtPr>
      <w:sdtEndPr/>
      <w:sdtContent>
        <w:r w:rsidR="00FD7CBC">
          <w:fldChar w:fldCharType="begin"/>
        </w:r>
        <w:r w:rsidR="00FD7CBC">
          <w:instrText>PAGE   \* MERGEFORMAT</w:instrText>
        </w:r>
        <w:r w:rsidR="00FD7CBC">
          <w:fldChar w:fldCharType="separate"/>
        </w:r>
        <w:r w:rsidR="00FD7CBC">
          <w:t>2</w:t>
        </w:r>
        <w:r w:rsidR="00FD7CBC">
          <w:fldChar w:fldCharType="end"/>
        </w:r>
      </w:sdtContent>
    </w:sdt>
  </w:p>
  <w:p w14:paraId="4E448FA2" w14:textId="5F9E0FA9" w:rsidR="00FD7CBC" w:rsidRDefault="00FD7C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7336" w14:textId="77777777" w:rsidR="00A213DF" w:rsidRDefault="00A213DF" w:rsidP="00FD7CBC">
      <w:pPr>
        <w:spacing w:after="0"/>
      </w:pPr>
      <w:r>
        <w:separator/>
      </w:r>
    </w:p>
  </w:footnote>
  <w:footnote w:type="continuationSeparator" w:id="0">
    <w:p w14:paraId="41717FC6" w14:textId="77777777" w:rsidR="00A213DF" w:rsidRDefault="00A213DF" w:rsidP="00FD7C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607"/>
    <w:multiLevelType w:val="multilevel"/>
    <w:tmpl w:val="B016E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978BD"/>
    <w:multiLevelType w:val="multilevel"/>
    <w:tmpl w:val="5E84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A5943"/>
    <w:multiLevelType w:val="multilevel"/>
    <w:tmpl w:val="383EF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E072E"/>
    <w:multiLevelType w:val="multilevel"/>
    <w:tmpl w:val="5E266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C7D6B"/>
    <w:multiLevelType w:val="multilevel"/>
    <w:tmpl w:val="B19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873EF"/>
    <w:multiLevelType w:val="multilevel"/>
    <w:tmpl w:val="ABD2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61F79"/>
    <w:multiLevelType w:val="multilevel"/>
    <w:tmpl w:val="36C0A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B7E60"/>
    <w:multiLevelType w:val="multilevel"/>
    <w:tmpl w:val="1DCEE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460DF"/>
    <w:multiLevelType w:val="multilevel"/>
    <w:tmpl w:val="1378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63F29"/>
    <w:multiLevelType w:val="multilevel"/>
    <w:tmpl w:val="AAD2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713F8F"/>
    <w:multiLevelType w:val="multilevel"/>
    <w:tmpl w:val="1E2A9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146C6"/>
    <w:multiLevelType w:val="multilevel"/>
    <w:tmpl w:val="CDCC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8234C"/>
    <w:multiLevelType w:val="multilevel"/>
    <w:tmpl w:val="BE624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53FE8"/>
    <w:multiLevelType w:val="multilevel"/>
    <w:tmpl w:val="BCB04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2723BB"/>
    <w:multiLevelType w:val="multilevel"/>
    <w:tmpl w:val="E49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47A7E"/>
    <w:multiLevelType w:val="multilevel"/>
    <w:tmpl w:val="0A001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0070E1"/>
    <w:multiLevelType w:val="multilevel"/>
    <w:tmpl w:val="724A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C74A7"/>
    <w:multiLevelType w:val="multilevel"/>
    <w:tmpl w:val="0974F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F54B7"/>
    <w:multiLevelType w:val="multilevel"/>
    <w:tmpl w:val="703E5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71EB6"/>
    <w:multiLevelType w:val="multilevel"/>
    <w:tmpl w:val="A770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72173E"/>
    <w:multiLevelType w:val="multilevel"/>
    <w:tmpl w:val="D986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2C2ECB"/>
    <w:multiLevelType w:val="multilevel"/>
    <w:tmpl w:val="BEA8C7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54001A"/>
    <w:multiLevelType w:val="multilevel"/>
    <w:tmpl w:val="02B2A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C3136A"/>
    <w:multiLevelType w:val="multilevel"/>
    <w:tmpl w:val="0554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72045"/>
    <w:multiLevelType w:val="multilevel"/>
    <w:tmpl w:val="51801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235F5F"/>
    <w:multiLevelType w:val="multilevel"/>
    <w:tmpl w:val="3178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622980"/>
    <w:multiLevelType w:val="multilevel"/>
    <w:tmpl w:val="9078C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B8232D"/>
    <w:multiLevelType w:val="multilevel"/>
    <w:tmpl w:val="4C280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534887">
    <w:abstractNumId w:val="5"/>
  </w:num>
  <w:num w:numId="2" w16cid:durableId="2099518911">
    <w:abstractNumId w:val="20"/>
  </w:num>
  <w:num w:numId="3" w16cid:durableId="1558932026">
    <w:abstractNumId w:val="7"/>
  </w:num>
  <w:num w:numId="4" w16cid:durableId="1404791846">
    <w:abstractNumId w:val="3"/>
  </w:num>
  <w:num w:numId="5" w16cid:durableId="1485312810">
    <w:abstractNumId w:val="8"/>
  </w:num>
  <w:num w:numId="6" w16cid:durableId="655766132">
    <w:abstractNumId w:val="14"/>
  </w:num>
  <w:num w:numId="7" w16cid:durableId="1776749764">
    <w:abstractNumId w:val="11"/>
  </w:num>
  <w:num w:numId="8" w16cid:durableId="188296316">
    <w:abstractNumId w:val="25"/>
  </w:num>
  <w:num w:numId="9" w16cid:durableId="35355458">
    <w:abstractNumId w:val="19"/>
  </w:num>
  <w:num w:numId="10" w16cid:durableId="1468546272">
    <w:abstractNumId w:val="23"/>
  </w:num>
  <w:num w:numId="11" w16cid:durableId="1311400508">
    <w:abstractNumId w:val="4"/>
  </w:num>
  <w:num w:numId="12" w16cid:durableId="1419979157">
    <w:abstractNumId w:val="16"/>
  </w:num>
  <w:num w:numId="13" w16cid:durableId="272707998">
    <w:abstractNumId w:val="24"/>
  </w:num>
  <w:num w:numId="14" w16cid:durableId="2105803309">
    <w:abstractNumId w:val="1"/>
  </w:num>
  <w:num w:numId="15" w16cid:durableId="135416132">
    <w:abstractNumId w:val="9"/>
  </w:num>
  <w:num w:numId="16" w16cid:durableId="386225070">
    <w:abstractNumId w:val="22"/>
  </w:num>
  <w:num w:numId="17" w16cid:durableId="44843199">
    <w:abstractNumId w:val="26"/>
  </w:num>
  <w:num w:numId="18" w16cid:durableId="530916009">
    <w:abstractNumId w:val="2"/>
  </w:num>
  <w:num w:numId="19" w16cid:durableId="744887238">
    <w:abstractNumId w:val="17"/>
  </w:num>
  <w:num w:numId="20" w16cid:durableId="1494224591">
    <w:abstractNumId w:val="12"/>
  </w:num>
  <w:num w:numId="21" w16cid:durableId="1093091584">
    <w:abstractNumId w:val="13"/>
  </w:num>
  <w:num w:numId="22" w16cid:durableId="950162249">
    <w:abstractNumId w:val="18"/>
  </w:num>
  <w:num w:numId="23" w16cid:durableId="961302366">
    <w:abstractNumId w:val="0"/>
  </w:num>
  <w:num w:numId="24" w16cid:durableId="333265251">
    <w:abstractNumId w:val="6"/>
  </w:num>
  <w:num w:numId="25" w16cid:durableId="40987281">
    <w:abstractNumId w:val="21"/>
  </w:num>
  <w:num w:numId="26" w16cid:durableId="1894005204">
    <w:abstractNumId w:val="27"/>
  </w:num>
  <w:num w:numId="27" w16cid:durableId="1818836983">
    <w:abstractNumId w:val="15"/>
  </w:num>
  <w:num w:numId="28" w16cid:durableId="1216046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EC"/>
    <w:rsid w:val="000C06E6"/>
    <w:rsid w:val="001C5F9D"/>
    <w:rsid w:val="0028353E"/>
    <w:rsid w:val="00316593"/>
    <w:rsid w:val="003B51CE"/>
    <w:rsid w:val="003E33F7"/>
    <w:rsid w:val="00411B38"/>
    <w:rsid w:val="00430700"/>
    <w:rsid w:val="004510B3"/>
    <w:rsid w:val="005D0BEC"/>
    <w:rsid w:val="00745742"/>
    <w:rsid w:val="00915D35"/>
    <w:rsid w:val="009F697C"/>
    <w:rsid w:val="00A213DF"/>
    <w:rsid w:val="00AC6792"/>
    <w:rsid w:val="00AE0247"/>
    <w:rsid w:val="00BA15EA"/>
    <w:rsid w:val="00C35913"/>
    <w:rsid w:val="00D86B19"/>
    <w:rsid w:val="00D974EC"/>
    <w:rsid w:val="00DC36BB"/>
    <w:rsid w:val="00E8227A"/>
    <w:rsid w:val="00EE7593"/>
    <w:rsid w:val="00F74B22"/>
    <w:rsid w:val="00FD7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713B"/>
  <w15:chartTrackingRefBased/>
  <w15:docId w15:val="{3E531DDA-0D6E-431C-AB98-CACBF23A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spacing w:before="120" w:after="120" w:line="240" w:lineRule="auto"/>
      <w:jc w:val="both"/>
    </w:pPr>
    <w:rPr>
      <w:rFonts w:ascii="Times New Roman" w:hAnsi="Times New Roman"/>
      <w:kern w:val="0"/>
      <w:sz w:val="24"/>
      <w14:ligatures w14:val="none"/>
    </w:rPr>
  </w:style>
  <w:style w:type="paragraph" w:styleId="Balk1">
    <w:name w:val="heading 1"/>
    <w:basedOn w:val="Normal"/>
    <w:next w:val="Normal"/>
    <w:link w:val="Balk1Char"/>
    <w:uiPriority w:val="9"/>
    <w:qFormat/>
    <w:rsid w:val="00316593"/>
    <w:pPr>
      <w:keepNext/>
      <w:keepLines/>
      <w:spacing w:before="240" w:after="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316593"/>
    <w:pPr>
      <w:keepNext/>
      <w:keepLines/>
      <w:spacing w:line="360" w:lineRule="auto"/>
      <w:jc w:val="left"/>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D7CBC"/>
    <w:pPr>
      <w:tabs>
        <w:tab w:val="center" w:pos="4536"/>
        <w:tab w:val="right" w:pos="9072"/>
      </w:tabs>
      <w:spacing w:after="0"/>
    </w:pPr>
  </w:style>
  <w:style w:type="character" w:customStyle="1" w:styleId="stBilgiChar">
    <w:name w:val="Üst Bilgi Char"/>
    <w:basedOn w:val="VarsaylanParagrafYazTipi"/>
    <w:link w:val="stBilgi"/>
    <w:uiPriority w:val="99"/>
    <w:rsid w:val="00FD7CBC"/>
    <w:rPr>
      <w:kern w:val="0"/>
      <w14:ligatures w14:val="none"/>
    </w:rPr>
  </w:style>
  <w:style w:type="paragraph" w:styleId="AltBilgi">
    <w:name w:val="footer"/>
    <w:basedOn w:val="Normal"/>
    <w:link w:val="AltBilgiChar"/>
    <w:uiPriority w:val="99"/>
    <w:unhideWhenUsed/>
    <w:rsid w:val="00FD7CBC"/>
    <w:pPr>
      <w:tabs>
        <w:tab w:val="center" w:pos="4536"/>
        <w:tab w:val="right" w:pos="9072"/>
      </w:tabs>
      <w:spacing w:after="0"/>
    </w:pPr>
  </w:style>
  <w:style w:type="character" w:customStyle="1" w:styleId="AltBilgiChar">
    <w:name w:val="Alt Bilgi Char"/>
    <w:basedOn w:val="VarsaylanParagrafYazTipi"/>
    <w:link w:val="AltBilgi"/>
    <w:uiPriority w:val="99"/>
    <w:rsid w:val="00FD7CBC"/>
    <w:rPr>
      <w:kern w:val="0"/>
      <w14:ligatures w14:val="none"/>
    </w:rPr>
  </w:style>
  <w:style w:type="paragraph" w:styleId="NormalWeb">
    <w:name w:val="Normal (Web)"/>
    <w:basedOn w:val="Normal"/>
    <w:uiPriority w:val="99"/>
    <w:unhideWhenUsed/>
    <w:rsid w:val="00EE7593"/>
    <w:pPr>
      <w:spacing w:before="100" w:beforeAutospacing="1" w:after="100" w:afterAutospacing="1"/>
    </w:pPr>
    <w:rPr>
      <w:rFonts w:eastAsia="Times New Roman" w:cs="Times New Roman"/>
      <w:szCs w:val="24"/>
      <w:lang w:eastAsia="tr-TR"/>
    </w:rPr>
  </w:style>
  <w:style w:type="character" w:styleId="Gl">
    <w:name w:val="Strong"/>
    <w:basedOn w:val="VarsaylanParagrafYazTipi"/>
    <w:uiPriority w:val="22"/>
    <w:qFormat/>
    <w:rsid w:val="00EE7593"/>
    <w:rPr>
      <w:b/>
      <w:bCs/>
    </w:rPr>
  </w:style>
  <w:style w:type="character" w:customStyle="1" w:styleId="Balk1Char">
    <w:name w:val="Başlık 1 Char"/>
    <w:basedOn w:val="VarsaylanParagrafYazTipi"/>
    <w:link w:val="Balk1"/>
    <w:uiPriority w:val="9"/>
    <w:rsid w:val="00316593"/>
    <w:rPr>
      <w:rFonts w:ascii="Times New Roman" w:eastAsiaTheme="majorEastAsia" w:hAnsi="Times New Roman" w:cstheme="majorBidi"/>
      <w:b/>
      <w:kern w:val="0"/>
      <w:sz w:val="24"/>
      <w:szCs w:val="32"/>
      <w14:ligatures w14:val="none"/>
    </w:rPr>
  </w:style>
  <w:style w:type="character" w:customStyle="1" w:styleId="Balk2Char">
    <w:name w:val="Başlık 2 Char"/>
    <w:basedOn w:val="VarsaylanParagrafYazTipi"/>
    <w:link w:val="Balk2"/>
    <w:uiPriority w:val="9"/>
    <w:rsid w:val="00316593"/>
    <w:rPr>
      <w:rFonts w:ascii="Times New Roman" w:eastAsiaTheme="majorEastAsia" w:hAnsi="Times New Roman" w:cstheme="majorBidi"/>
      <w:b/>
      <w:kern w:val="0"/>
      <w:sz w:val="24"/>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700">
      <w:bodyDiv w:val="1"/>
      <w:marLeft w:val="0"/>
      <w:marRight w:val="0"/>
      <w:marTop w:val="0"/>
      <w:marBottom w:val="0"/>
      <w:divBdr>
        <w:top w:val="none" w:sz="0" w:space="0" w:color="auto"/>
        <w:left w:val="none" w:sz="0" w:space="0" w:color="auto"/>
        <w:bottom w:val="none" w:sz="0" w:space="0" w:color="auto"/>
        <w:right w:val="none" w:sz="0" w:space="0" w:color="auto"/>
      </w:divBdr>
    </w:div>
    <w:div w:id="132411220">
      <w:bodyDiv w:val="1"/>
      <w:marLeft w:val="0"/>
      <w:marRight w:val="0"/>
      <w:marTop w:val="0"/>
      <w:marBottom w:val="0"/>
      <w:divBdr>
        <w:top w:val="none" w:sz="0" w:space="0" w:color="auto"/>
        <w:left w:val="none" w:sz="0" w:space="0" w:color="auto"/>
        <w:bottom w:val="none" w:sz="0" w:space="0" w:color="auto"/>
        <w:right w:val="none" w:sz="0" w:space="0" w:color="auto"/>
      </w:divBdr>
    </w:div>
    <w:div w:id="141117525">
      <w:bodyDiv w:val="1"/>
      <w:marLeft w:val="0"/>
      <w:marRight w:val="0"/>
      <w:marTop w:val="0"/>
      <w:marBottom w:val="0"/>
      <w:divBdr>
        <w:top w:val="none" w:sz="0" w:space="0" w:color="auto"/>
        <w:left w:val="none" w:sz="0" w:space="0" w:color="auto"/>
        <w:bottom w:val="none" w:sz="0" w:space="0" w:color="auto"/>
        <w:right w:val="none" w:sz="0" w:space="0" w:color="auto"/>
      </w:divBdr>
    </w:div>
    <w:div w:id="528101826">
      <w:bodyDiv w:val="1"/>
      <w:marLeft w:val="0"/>
      <w:marRight w:val="0"/>
      <w:marTop w:val="0"/>
      <w:marBottom w:val="0"/>
      <w:divBdr>
        <w:top w:val="none" w:sz="0" w:space="0" w:color="auto"/>
        <w:left w:val="none" w:sz="0" w:space="0" w:color="auto"/>
        <w:bottom w:val="none" w:sz="0" w:space="0" w:color="auto"/>
        <w:right w:val="none" w:sz="0" w:space="0" w:color="auto"/>
      </w:divBdr>
    </w:div>
    <w:div w:id="667830917">
      <w:bodyDiv w:val="1"/>
      <w:marLeft w:val="0"/>
      <w:marRight w:val="0"/>
      <w:marTop w:val="0"/>
      <w:marBottom w:val="0"/>
      <w:divBdr>
        <w:top w:val="none" w:sz="0" w:space="0" w:color="auto"/>
        <w:left w:val="none" w:sz="0" w:space="0" w:color="auto"/>
        <w:bottom w:val="none" w:sz="0" w:space="0" w:color="auto"/>
        <w:right w:val="none" w:sz="0" w:space="0" w:color="auto"/>
      </w:divBdr>
    </w:div>
    <w:div w:id="698820977">
      <w:bodyDiv w:val="1"/>
      <w:marLeft w:val="0"/>
      <w:marRight w:val="0"/>
      <w:marTop w:val="0"/>
      <w:marBottom w:val="0"/>
      <w:divBdr>
        <w:top w:val="none" w:sz="0" w:space="0" w:color="auto"/>
        <w:left w:val="none" w:sz="0" w:space="0" w:color="auto"/>
        <w:bottom w:val="none" w:sz="0" w:space="0" w:color="auto"/>
        <w:right w:val="none" w:sz="0" w:space="0" w:color="auto"/>
      </w:divBdr>
    </w:div>
    <w:div w:id="730007801">
      <w:bodyDiv w:val="1"/>
      <w:marLeft w:val="0"/>
      <w:marRight w:val="0"/>
      <w:marTop w:val="0"/>
      <w:marBottom w:val="0"/>
      <w:divBdr>
        <w:top w:val="none" w:sz="0" w:space="0" w:color="auto"/>
        <w:left w:val="none" w:sz="0" w:space="0" w:color="auto"/>
        <w:bottom w:val="none" w:sz="0" w:space="0" w:color="auto"/>
        <w:right w:val="none" w:sz="0" w:space="0" w:color="auto"/>
      </w:divBdr>
    </w:div>
    <w:div w:id="742948143">
      <w:bodyDiv w:val="1"/>
      <w:marLeft w:val="0"/>
      <w:marRight w:val="0"/>
      <w:marTop w:val="0"/>
      <w:marBottom w:val="0"/>
      <w:divBdr>
        <w:top w:val="none" w:sz="0" w:space="0" w:color="auto"/>
        <w:left w:val="none" w:sz="0" w:space="0" w:color="auto"/>
        <w:bottom w:val="none" w:sz="0" w:space="0" w:color="auto"/>
        <w:right w:val="none" w:sz="0" w:space="0" w:color="auto"/>
      </w:divBdr>
      <w:divsChild>
        <w:div w:id="254095734">
          <w:marLeft w:val="0"/>
          <w:marRight w:val="0"/>
          <w:marTop w:val="0"/>
          <w:marBottom w:val="0"/>
          <w:divBdr>
            <w:top w:val="none" w:sz="0" w:space="0" w:color="auto"/>
            <w:left w:val="none" w:sz="0" w:space="0" w:color="auto"/>
            <w:bottom w:val="none" w:sz="0" w:space="0" w:color="auto"/>
            <w:right w:val="none" w:sz="0" w:space="0" w:color="auto"/>
          </w:divBdr>
        </w:div>
        <w:div w:id="1473906680">
          <w:marLeft w:val="0"/>
          <w:marRight w:val="0"/>
          <w:marTop w:val="0"/>
          <w:marBottom w:val="0"/>
          <w:divBdr>
            <w:top w:val="none" w:sz="0" w:space="0" w:color="auto"/>
            <w:left w:val="none" w:sz="0" w:space="0" w:color="auto"/>
            <w:bottom w:val="none" w:sz="0" w:space="0" w:color="auto"/>
            <w:right w:val="none" w:sz="0" w:space="0" w:color="auto"/>
          </w:divBdr>
        </w:div>
        <w:div w:id="1880390337">
          <w:marLeft w:val="0"/>
          <w:marRight w:val="0"/>
          <w:marTop w:val="0"/>
          <w:marBottom w:val="0"/>
          <w:divBdr>
            <w:top w:val="none" w:sz="0" w:space="0" w:color="auto"/>
            <w:left w:val="none" w:sz="0" w:space="0" w:color="auto"/>
            <w:bottom w:val="none" w:sz="0" w:space="0" w:color="auto"/>
            <w:right w:val="none" w:sz="0" w:space="0" w:color="auto"/>
          </w:divBdr>
        </w:div>
      </w:divsChild>
    </w:div>
    <w:div w:id="859052031">
      <w:bodyDiv w:val="1"/>
      <w:marLeft w:val="0"/>
      <w:marRight w:val="0"/>
      <w:marTop w:val="0"/>
      <w:marBottom w:val="0"/>
      <w:divBdr>
        <w:top w:val="none" w:sz="0" w:space="0" w:color="auto"/>
        <w:left w:val="none" w:sz="0" w:space="0" w:color="auto"/>
        <w:bottom w:val="none" w:sz="0" w:space="0" w:color="auto"/>
        <w:right w:val="none" w:sz="0" w:space="0" w:color="auto"/>
      </w:divBdr>
    </w:div>
    <w:div w:id="975837045">
      <w:bodyDiv w:val="1"/>
      <w:marLeft w:val="0"/>
      <w:marRight w:val="0"/>
      <w:marTop w:val="0"/>
      <w:marBottom w:val="0"/>
      <w:divBdr>
        <w:top w:val="none" w:sz="0" w:space="0" w:color="auto"/>
        <w:left w:val="none" w:sz="0" w:space="0" w:color="auto"/>
        <w:bottom w:val="none" w:sz="0" w:space="0" w:color="auto"/>
        <w:right w:val="none" w:sz="0" w:space="0" w:color="auto"/>
      </w:divBdr>
    </w:div>
    <w:div w:id="1168250194">
      <w:bodyDiv w:val="1"/>
      <w:marLeft w:val="0"/>
      <w:marRight w:val="0"/>
      <w:marTop w:val="0"/>
      <w:marBottom w:val="0"/>
      <w:divBdr>
        <w:top w:val="none" w:sz="0" w:space="0" w:color="auto"/>
        <w:left w:val="none" w:sz="0" w:space="0" w:color="auto"/>
        <w:bottom w:val="none" w:sz="0" w:space="0" w:color="auto"/>
        <w:right w:val="none" w:sz="0" w:space="0" w:color="auto"/>
      </w:divBdr>
    </w:div>
    <w:div w:id="1459572256">
      <w:bodyDiv w:val="1"/>
      <w:marLeft w:val="0"/>
      <w:marRight w:val="0"/>
      <w:marTop w:val="0"/>
      <w:marBottom w:val="0"/>
      <w:divBdr>
        <w:top w:val="none" w:sz="0" w:space="0" w:color="auto"/>
        <w:left w:val="none" w:sz="0" w:space="0" w:color="auto"/>
        <w:bottom w:val="none" w:sz="0" w:space="0" w:color="auto"/>
        <w:right w:val="none" w:sz="0" w:space="0" w:color="auto"/>
      </w:divBdr>
    </w:div>
    <w:div w:id="1512068858">
      <w:bodyDiv w:val="1"/>
      <w:marLeft w:val="0"/>
      <w:marRight w:val="0"/>
      <w:marTop w:val="0"/>
      <w:marBottom w:val="0"/>
      <w:divBdr>
        <w:top w:val="none" w:sz="0" w:space="0" w:color="auto"/>
        <w:left w:val="none" w:sz="0" w:space="0" w:color="auto"/>
        <w:bottom w:val="none" w:sz="0" w:space="0" w:color="auto"/>
        <w:right w:val="none" w:sz="0" w:space="0" w:color="auto"/>
      </w:divBdr>
    </w:div>
    <w:div w:id="1716350271">
      <w:bodyDiv w:val="1"/>
      <w:marLeft w:val="0"/>
      <w:marRight w:val="0"/>
      <w:marTop w:val="0"/>
      <w:marBottom w:val="0"/>
      <w:divBdr>
        <w:top w:val="none" w:sz="0" w:space="0" w:color="auto"/>
        <w:left w:val="none" w:sz="0" w:space="0" w:color="auto"/>
        <w:bottom w:val="none" w:sz="0" w:space="0" w:color="auto"/>
        <w:right w:val="none" w:sz="0" w:space="0" w:color="auto"/>
      </w:divBdr>
    </w:div>
    <w:div w:id="1717895657">
      <w:bodyDiv w:val="1"/>
      <w:marLeft w:val="0"/>
      <w:marRight w:val="0"/>
      <w:marTop w:val="0"/>
      <w:marBottom w:val="0"/>
      <w:divBdr>
        <w:top w:val="none" w:sz="0" w:space="0" w:color="auto"/>
        <w:left w:val="none" w:sz="0" w:space="0" w:color="auto"/>
        <w:bottom w:val="none" w:sz="0" w:space="0" w:color="auto"/>
        <w:right w:val="none" w:sz="0" w:space="0" w:color="auto"/>
      </w:divBdr>
    </w:div>
    <w:div w:id="18526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1D66-FE65-4E14-A1DA-EA2BC15E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1974</Words>
  <Characters>11254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KAYA</dc:creator>
  <cp:keywords/>
  <dc:description/>
  <cp:lastModifiedBy>Gülçin Gökçenur Karataş</cp:lastModifiedBy>
  <cp:revision>2</cp:revision>
  <dcterms:created xsi:type="dcterms:W3CDTF">2024-12-21T09:00:00Z</dcterms:created>
  <dcterms:modified xsi:type="dcterms:W3CDTF">2024-12-21T09:00:00Z</dcterms:modified>
</cp:coreProperties>
</file>